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31EF0" w14:textId="77777777" w:rsidR="00E17F3C" w:rsidRPr="00E17F3C" w:rsidRDefault="00E17F3C" w:rsidP="00E17F3C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E17F3C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Consommation chinoise à la traîne</w:t>
      </w:r>
    </w:p>
    <w:p w14:paraId="32922A5F" w14:textId="77777777" w:rsidR="00E17F3C" w:rsidRDefault="00E17F3C" w:rsidP="00E17F3C">
      <w:pPr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0A352FD8" w14:textId="761C3109" w:rsidR="00287462" w:rsidRDefault="00E17F3C" w:rsidP="00E17F3C">
      <w:r w:rsidRPr="00E17F3C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FFFFFF"/>
          <w:lang w:eastAsia="fr-BE"/>
          <w14:ligatures w14:val="none"/>
        </w:rPr>
        <w:t xml:space="preserve">Début de semaine orienté à la baisse, la faible consommation chinoise fait baisser les cours du cuivre à Londres. Les perspectives d’une baisse des taux d’intérêt américain, ainsi que de reprise de la demande chinoise, limitent toutefois les pertes. Sur le LME, le cuivre pour livraison à trois mois recule de 0,2 % à 9,925.50 $/t. Vendredi, les prix ont atteint un pic de trois semaines et enregistré leur première augmentation hebdomadaire en sept semaines. Sur le </w:t>
      </w:r>
      <w:proofErr w:type="spellStart"/>
      <w:r w:rsidRPr="00E17F3C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FFFFFF"/>
          <w:lang w:eastAsia="fr-BE"/>
          <w14:ligatures w14:val="none"/>
        </w:rPr>
        <w:t>ShFE</w:t>
      </w:r>
      <w:proofErr w:type="spellEnd"/>
      <w:r w:rsidRPr="00E17F3C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FFFFFF"/>
          <w:lang w:eastAsia="fr-BE"/>
          <w14:ligatures w14:val="none"/>
        </w:rPr>
        <w:t xml:space="preserve">, le contrat le plus échangé (échéance août) a gagné 0,2 % à 11,048.44 $). La consommation de cuivre reste faible en Chine. Une enquête du Shanghai </w:t>
      </w:r>
      <w:proofErr w:type="spellStart"/>
      <w:r w:rsidRPr="00E17F3C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FFFFFF"/>
          <w:lang w:eastAsia="fr-BE"/>
          <w14:ligatures w14:val="none"/>
        </w:rPr>
        <w:t>Metals</w:t>
      </w:r>
      <w:proofErr w:type="spellEnd"/>
      <w:r w:rsidRPr="00E17F3C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FFFFFF"/>
          <w:lang w:eastAsia="fr-BE"/>
          <w14:ligatures w14:val="none"/>
        </w:rPr>
        <w:t xml:space="preserve"> </w:t>
      </w:r>
      <w:proofErr w:type="spellStart"/>
      <w:r w:rsidRPr="00E17F3C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FFFFFF"/>
          <w:lang w:eastAsia="fr-BE"/>
          <w14:ligatures w14:val="none"/>
        </w:rPr>
        <w:t>Market</w:t>
      </w:r>
      <w:proofErr w:type="spellEnd"/>
      <w:r w:rsidRPr="00E17F3C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FFFFFF"/>
          <w:lang w:eastAsia="fr-BE"/>
          <w14:ligatures w14:val="none"/>
        </w:rPr>
        <w:t xml:space="preserve"> a montré une baisse inattendue du taux d’exploitation des producteurs de câbles et fils de cuivre la semaine dernière</w:t>
      </w:r>
    </w:p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3C"/>
    <w:rsid w:val="00287462"/>
    <w:rsid w:val="00B92C71"/>
    <w:rsid w:val="00E1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21A2"/>
  <w15:chartTrackingRefBased/>
  <w15:docId w15:val="{C9666674-0520-48E6-A4AE-5FA79464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7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7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7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7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7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7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7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7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7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7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7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7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7F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7F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7F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7F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7F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7F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7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7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7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7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7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7F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7F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7F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7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7F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7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1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2024-07-08T08:27:00Z</dcterms:created>
  <dcterms:modified xsi:type="dcterms:W3CDTF">2024-07-08T08:28:00Z</dcterms:modified>
</cp:coreProperties>
</file>